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宋体" w:hAnsi="宋体" w:cs="宋体"/>
          <w:b/>
          <w:bCs/>
          <w:sz w:val="28"/>
          <w:szCs w:val="28"/>
        </w:rPr>
      </w:pPr>
      <w:r>
        <w:rPr>
          <w:rFonts w:hint="eastAsia" w:ascii="宋体" w:hAnsi="宋体" w:cs="宋体"/>
          <w:b/>
          <w:bCs/>
          <w:sz w:val="28"/>
          <w:szCs w:val="28"/>
        </w:rPr>
        <w:t>附件1：河北工业大学国家大学科技园简介</w:t>
      </w:r>
    </w:p>
    <w:p>
      <w:pPr>
        <w:spacing w:line="500" w:lineRule="exact"/>
        <w:ind w:firstLine="580" w:firstLineChars="200"/>
        <w:rPr>
          <w:rFonts w:hint="eastAsia" w:ascii="宋体" w:hAnsi="宋体" w:cs="宋体"/>
          <w:color w:val="222222"/>
          <w:spacing w:val="5"/>
          <w:sz w:val="28"/>
          <w:szCs w:val="28"/>
          <w:shd w:val="clear" w:color="auto" w:fill="FFFFFF"/>
        </w:rPr>
      </w:pPr>
      <w:r>
        <w:rPr>
          <w:rFonts w:hint="eastAsia" w:ascii="宋体" w:hAnsi="宋体" w:cs="宋体"/>
          <w:color w:val="222222"/>
          <w:spacing w:val="5"/>
          <w:sz w:val="28"/>
          <w:szCs w:val="28"/>
          <w:shd w:val="clear" w:color="auto" w:fill="FFFFFF"/>
        </w:rPr>
        <w:t>河北工业大学国家大学科技园始建于2000年6月，2006年10月被科技部、教育部认定为国家大学科技园。先后获批“高校学生科技创业实习基地”“青年就业创业见习基地”“国家备案众创空间”“河北省民营企业人才培训基地”“河北省十强孵化器”“河北省十大品牌众创空间”“河北省双创优秀载体创新探索奖”“天津市技术转移示范机构”“天津市小型微型创业创新示范基地”“天津市优秀众创空间”，是河北省科技企业孵化协会副理事长单位，天津市创业孵化协会副理事长单位，京津冀大学科技园联盟副理事长单位。</w:t>
      </w:r>
    </w:p>
    <w:p>
      <w:pPr>
        <w:spacing w:line="500" w:lineRule="exact"/>
        <w:ind w:firstLine="580" w:firstLineChars="200"/>
        <w:rPr>
          <w:rFonts w:hint="eastAsia" w:ascii="宋体" w:hAnsi="宋体" w:cs="宋体"/>
          <w:color w:val="222222"/>
          <w:spacing w:val="5"/>
          <w:sz w:val="28"/>
          <w:szCs w:val="28"/>
          <w:shd w:val="clear" w:color="auto" w:fill="FFFFFF"/>
        </w:rPr>
      </w:pPr>
      <w:r>
        <w:rPr>
          <w:rFonts w:hint="eastAsia" w:ascii="宋体" w:hAnsi="宋体" w:cs="宋体"/>
          <w:color w:val="222222"/>
          <w:spacing w:val="5"/>
          <w:sz w:val="28"/>
          <w:szCs w:val="28"/>
          <w:shd w:val="clear" w:color="auto" w:fill="FFFFFF"/>
        </w:rPr>
        <w:t>科技园充分发挥创新资源集成、科技成果转化、科技创业孵化、创新人才培育、开放协同发展五大核心职能，以打造高校成果转化“首站”、区域创新创业“核心孵化园”和新兴产业“策源地”为目标，主动服务经济强省、美丽河北建设。</w:t>
      </w:r>
    </w:p>
    <w:p>
      <w:pPr>
        <w:spacing w:line="500" w:lineRule="exact"/>
        <w:ind w:firstLine="580" w:firstLineChars="200"/>
        <w:rPr>
          <w:rFonts w:hint="eastAsia" w:ascii="宋体" w:hAnsi="宋体" w:cs="宋体"/>
          <w:color w:val="222222"/>
          <w:spacing w:val="5"/>
          <w:sz w:val="28"/>
          <w:szCs w:val="28"/>
          <w:shd w:val="clear" w:color="auto" w:fill="FFFFFF"/>
        </w:rPr>
      </w:pPr>
      <w:r>
        <w:rPr>
          <w:rFonts w:hint="eastAsia" w:ascii="宋体" w:hAnsi="宋体" w:eastAsia="宋体" w:cs="宋体"/>
          <w:color w:val="222222"/>
          <w:spacing w:val="5"/>
          <w:sz w:val="28"/>
          <w:szCs w:val="28"/>
          <w:shd w:val="clear" w:color="auto" w:fill="FFFFFF"/>
        </w:rPr>
        <w:t>构建了“众创空间－孵化器－加速器—产业园区”全链条孵化体系。通过“团队+企业”的</w:t>
      </w:r>
      <w:r>
        <w:rPr>
          <w:rFonts w:hint="eastAsia" w:ascii="宋体" w:hAnsi="宋体" w:cs="宋体"/>
          <w:color w:val="222222"/>
          <w:spacing w:val="5"/>
          <w:sz w:val="28"/>
          <w:szCs w:val="28"/>
          <w:shd w:val="clear" w:color="auto" w:fill="FFFFFF"/>
        </w:rPr>
        <w:t>孵化模式和“成果转化—技术领先—发展壮大—上市企业”的技术路线，帮助入驻企业快速发展，逐步形成“乔木”参天、“灌木”茁壮、“草木”葱郁的先进装备科技型企业的“热带雨林”。</w:t>
      </w:r>
    </w:p>
    <w:p>
      <w:pPr>
        <w:spacing w:line="500" w:lineRule="exact"/>
        <w:ind w:firstLine="580" w:firstLineChars="200"/>
        <w:rPr>
          <w:rFonts w:hint="eastAsia" w:ascii="宋体" w:hAnsi="宋体" w:cs="宋体"/>
          <w:color w:val="222222"/>
          <w:spacing w:val="5"/>
          <w:sz w:val="28"/>
          <w:szCs w:val="28"/>
          <w:shd w:val="clear" w:color="auto" w:fill="FFFFFF"/>
        </w:rPr>
      </w:pPr>
      <w:r>
        <w:rPr>
          <w:rFonts w:hint="eastAsia" w:ascii="宋体" w:hAnsi="宋体" w:eastAsia="宋体" w:cs="宋体"/>
          <w:color w:val="222222"/>
          <w:spacing w:val="5"/>
          <w:sz w:val="28"/>
          <w:szCs w:val="28"/>
          <w:shd w:val="clear" w:color="auto" w:fill="FFFFFF"/>
        </w:rPr>
        <w:t>构建了“一四九”全链条式孵化服务体系，</w:t>
      </w:r>
      <w:r>
        <w:rPr>
          <w:rFonts w:hint="eastAsia" w:ascii="宋体" w:hAnsi="宋体" w:cs="宋体"/>
          <w:color w:val="222222"/>
          <w:spacing w:val="5"/>
          <w:sz w:val="28"/>
          <w:szCs w:val="28"/>
          <w:shd w:val="clear" w:color="auto" w:fill="FFFFFF"/>
        </w:rPr>
        <w:t>依托基础服务、资源对接、培育成长、科技金融等四大服务平台，为入驻企业提供物业、商务、法务、培训、科技项目咨询、技术对接、人才引进、知识产权、科技金融、概念验证、科技保险等全方位、低成本的服务。多年来，培育和孵化了包括创业板上市公司——河北工大科雅能源科技股份有限公司在内的科技型企业近2000家。</w:t>
      </w:r>
    </w:p>
    <w:p>
      <w:pPr>
        <w:spacing w:line="500" w:lineRule="exact"/>
        <w:ind w:firstLine="580" w:firstLineChars="200"/>
        <w:rPr>
          <w:rFonts w:hint="eastAsia" w:ascii="宋体" w:hAnsi="宋体" w:cs="宋体"/>
          <w:color w:val="222222"/>
          <w:spacing w:val="5"/>
          <w:sz w:val="28"/>
          <w:szCs w:val="28"/>
          <w:shd w:val="clear" w:color="auto" w:fill="FFFFFF"/>
        </w:rPr>
      </w:pPr>
      <w:r>
        <w:rPr>
          <w:rFonts w:hint="eastAsia" w:ascii="宋体" w:hAnsi="宋体" w:eastAsia="宋体" w:cs="宋体"/>
          <w:color w:val="222222"/>
          <w:spacing w:val="5"/>
          <w:sz w:val="28"/>
          <w:szCs w:val="28"/>
          <w:shd w:val="clear" w:color="auto" w:fill="FFFFFF"/>
        </w:rPr>
        <w:t>建设了津冀首家科技成果超市，面向河北省主导产业和县域特色产业的转型升级与创新发展提供全方位的科技成果展示、交易与服务。成果超市现有</w:t>
      </w:r>
      <w:r>
        <w:rPr>
          <w:rFonts w:hint="eastAsia" w:ascii="宋体" w:hAnsi="宋体" w:cs="宋体"/>
          <w:color w:val="222222"/>
          <w:spacing w:val="5"/>
          <w:sz w:val="28"/>
          <w:szCs w:val="28"/>
          <w:shd w:val="clear" w:color="auto" w:fill="FFFFFF"/>
        </w:rPr>
        <w:t>科技成果1803项、专家人才453位、专利信息20228项，并与京津冀、长三角、大湾区部分科技成果转化服务平台实现信息与资源共享，进一步拓展了科技成果资源。近年来，科技园在我省部分县市建立了14个科技成果超市服务网络节点与2个科技服务中心，以此构建河北工业大学科技服务网络，打造高校科技成果转化与科技服务的“河北工大模式”。</w:t>
      </w:r>
    </w:p>
    <w:p>
      <w:pPr>
        <w:spacing w:line="500" w:lineRule="exact"/>
        <w:ind w:firstLine="580" w:firstLineChars="200"/>
        <w:rPr>
          <w:rFonts w:hint="eastAsia" w:ascii="宋体" w:hAnsi="宋体" w:cs="宋体"/>
          <w:color w:val="222222"/>
          <w:spacing w:val="5"/>
          <w:sz w:val="28"/>
          <w:szCs w:val="28"/>
          <w:shd w:val="clear" w:color="auto" w:fill="FFFFFF"/>
        </w:rPr>
      </w:pPr>
      <w:r>
        <w:rPr>
          <w:rFonts w:hint="eastAsia" w:ascii="宋体" w:hAnsi="宋体" w:cs="宋体"/>
          <w:color w:val="222222"/>
          <w:spacing w:val="5"/>
          <w:sz w:val="28"/>
          <w:szCs w:val="28"/>
          <w:shd w:val="clear" w:color="auto" w:fill="FFFFFF"/>
        </w:rPr>
        <w:t>积极参与学校创新创业课程体系建设，提供丰富生动的教学案例；依托入驻企业为在校生提供实践实训岗位；定期举办创业沙龙、创业训练营、创业大赛等创新创业活动，营造浓郁的创新创业氛围，提高学生创新创业素质与能力。组织举办“科技园杯”创新创业挑战赛、天津市知识产权创新创业发明与设计大赛北辰区初赛、全国三维数字化创新设计大赛校内选拔赛等各类特色赛事。同时，围绕企业发展的人才需求，“订单式”培养和引进产业急需的人才，实现高校人才培养与企业发展需求的高度契合。</w:t>
      </w:r>
    </w:p>
    <w:p>
      <w:pPr>
        <w:spacing w:line="500" w:lineRule="exact"/>
        <w:ind w:firstLine="580" w:firstLineChars="200"/>
        <w:rPr>
          <w:rFonts w:hint="eastAsia" w:ascii="宋体" w:hAnsi="宋体" w:cs="宋体"/>
          <w:color w:val="222222"/>
          <w:spacing w:val="5"/>
          <w:sz w:val="28"/>
          <w:szCs w:val="28"/>
          <w:shd w:val="clear" w:color="auto" w:fill="FFFFFF"/>
        </w:rPr>
      </w:pPr>
      <w:r>
        <w:rPr>
          <w:rFonts w:hint="eastAsia" w:ascii="宋体" w:hAnsi="宋体" w:cs="宋体"/>
          <w:color w:val="222222"/>
          <w:spacing w:val="5"/>
          <w:sz w:val="28"/>
          <w:szCs w:val="28"/>
          <w:shd w:val="clear" w:color="auto" w:fill="FFFFFF"/>
        </w:rPr>
        <w:t>整合河北工业大学“国家重点实验室（国家地方联合工程实验室）—国家创新方法与实施工具工程技术研究中心—国家知识产权试点高校—国家知识产权信息服务中心—国家技术转移示范机构—国家大学科技园”完整的国家级产业服务链，通过与地方政府共建科技成果超市服务网络节点、科技服务中心、承办中国创新挑战赛等有效途径，与河北省高端装备制造产业集群保持了良好互动，服务相关企业1000余家，促成科技成果转化与科技服务总计1700余项。2021年，科技园承办了第六届中国创新挑战赛（河北）暨第二届衡水市创新挑战赛，对接服务河北省企业200余家，促成技术合同43项，技术合同成交额5400余万元。2022年，再次承办了第七届中国创新挑战赛（河北·衡水）暨第三届衡水市创新挑战赛和第七届中国创新挑战赛（天津）两项赛事，依托上述赛事现完成技术合同成交额2000余万元。</w:t>
      </w:r>
    </w:p>
    <w:p>
      <w:pPr>
        <w:rPr>
          <w:rFonts w:hint="eastAsia" w:ascii="宋体" w:hAnsi="宋体" w:cs="宋体"/>
          <w:b/>
          <w:bCs/>
          <w:sz w:val="28"/>
          <w:szCs w:val="28"/>
        </w:rPr>
      </w:pPr>
      <w:r>
        <w:rPr>
          <w:rFonts w:hint="eastAsia" w:ascii="宋体" w:hAnsi="宋体" w:cs="宋体"/>
          <w:b/>
          <w:bCs/>
          <w:sz w:val="28"/>
          <w:szCs w:val="28"/>
        </w:rPr>
        <w:br w:type="page"/>
      </w:r>
    </w:p>
    <w:p>
      <w:pPr>
        <w:spacing w:line="500" w:lineRule="exact"/>
        <w:rPr>
          <w:rFonts w:ascii="宋体" w:hAnsi="宋体" w:cs="宋体"/>
          <w:b/>
          <w:bCs/>
          <w:sz w:val="28"/>
          <w:szCs w:val="28"/>
        </w:rPr>
      </w:pPr>
      <w:bookmarkStart w:id="0" w:name="_GoBack"/>
      <w:bookmarkEnd w:id="0"/>
      <w:r>
        <w:rPr>
          <w:rFonts w:hint="eastAsia" w:ascii="宋体" w:hAnsi="宋体" w:cs="宋体"/>
          <w:b/>
          <w:bCs/>
          <w:sz w:val="28"/>
          <w:szCs w:val="28"/>
        </w:rPr>
        <w:t>附件2：</w:t>
      </w:r>
      <w:r>
        <w:rPr>
          <w:rFonts w:hint="eastAsia" w:ascii="宋体" w:hAnsi="宋体" w:cs="宋体"/>
          <w:b/>
          <w:bCs/>
          <w:color w:val="222222"/>
          <w:spacing w:val="5"/>
          <w:sz w:val="28"/>
          <w:szCs w:val="28"/>
          <w:shd w:val="clear" w:color="auto" w:fill="FFFFFF"/>
        </w:rPr>
        <w:t>天津剑儒自动化科技有限公司</w:t>
      </w:r>
      <w:r>
        <w:rPr>
          <w:rFonts w:hint="eastAsia" w:ascii="宋体" w:hAnsi="宋体" w:cs="宋体"/>
          <w:b/>
          <w:bCs/>
          <w:sz w:val="28"/>
          <w:szCs w:val="28"/>
        </w:rPr>
        <w:t>简介</w:t>
      </w:r>
    </w:p>
    <w:p>
      <w:pPr>
        <w:keepNext w:val="0"/>
        <w:keepLines w:val="0"/>
        <w:pageBreakBefore w:val="0"/>
        <w:widowControl/>
        <w:kinsoku/>
        <w:wordWrap/>
        <w:overflowPunct/>
        <w:topLinePunct w:val="0"/>
        <w:autoSpaceDE/>
        <w:autoSpaceDN/>
        <w:bidi w:val="0"/>
        <w:adjustRightInd/>
        <w:snapToGrid/>
        <w:spacing w:line="500" w:lineRule="exact"/>
        <w:ind w:firstLine="580" w:firstLineChars="200"/>
        <w:jc w:val="left"/>
        <w:textAlignment w:val="auto"/>
        <w:rPr>
          <w:rFonts w:ascii="宋体" w:hAnsi="宋体" w:cs="宋体"/>
          <w:color w:val="222222"/>
          <w:spacing w:val="5"/>
          <w:sz w:val="28"/>
          <w:szCs w:val="28"/>
          <w:shd w:val="clear" w:color="auto" w:fill="FFFFFF"/>
        </w:rPr>
      </w:pPr>
      <w:r>
        <w:rPr>
          <w:rFonts w:hint="eastAsia" w:ascii="宋体" w:hAnsi="宋体" w:cs="宋体"/>
          <w:color w:val="222222"/>
          <w:spacing w:val="5"/>
          <w:sz w:val="28"/>
          <w:szCs w:val="28"/>
          <w:shd w:val="clear" w:color="auto" w:fill="FFFFFF"/>
        </w:rPr>
        <w:t>天津剑儒自动化科技有限公司成立于2014年，</w:t>
      </w:r>
      <w:r>
        <w:rPr>
          <w:rFonts w:hint="eastAsia" w:ascii="宋体" w:hAnsi="宋体" w:cs="宋体"/>
          <w:color w:val="222222"/>
          <w:spacing w:val="5"/>
          <w:sz w:val="28"/>
          <w:szCs w:val="28"/>
          <w:shd w:val="clear" w:color="auto" w:fill="FFFFFF"/>
          <w:lang w:val="en-US" w:eastAsia="zh-CN"/>
        </w:rPr>
        <w:t>公司</w:t>
      </w:r>
      <w:r>
        <w:rPr>
          <w:rFonts w:hint="eastAsia" w:ascii="宋体" w:hAnsi="宋体" w:cs="宋体"/>
          <w:color w:val="222222"/>
          <w:spacing w:val="5"/>
          <w:sz w:val="28"/>
          <w:szCs w:val="28"/>
          <w:shd w:val="clear" w:color="auto" w:fill="FFFFFF"/>
        </w:rPr>
        <w:t>占地3073平米，</w:t>
      </w:r>
      <w:r>
        <w:rPr>
          <w:rFonts w:hint="eastAsia" w:ascii="宋体" w:hAnsi="宋体" w:cs="宋体"/>
          <w:color w:val="222222"/>
          <w:spacing w:val="5"/>
          <w:sz w:val="28"/>
          <w:szCs w:val="28"/>
          <w:shd w:val="clear" w:color="auto" w:fill="FFFFFF"/>
          <w:lang w:val="en-US" w:eastAsia="zh-CN"/>
        </w:rPr>
        <w:t>现有</w:t>
      </w:r>
      <w:r>
        <w:rPr>
          <w:rFonts w:hint="eastAsia" w:ascii="宋体" w:hAnsi="宋体" w:cs="宋体"/>
          <w:color w:val="222222"/>
          <w:spacing w:val="5"/>
          <w:sz w:val="28"/>
          <w:szCs w:val="28"/>
          <w:shd w:val="clear" w:color="auto" w:fill="FFFFFF"/>
        </w:rPr>
        <w:t>全职员工26人，</w:t>
      </w:r>
      <w:r>
        <w:rPr>
          <w:rFonts w:hint="eastAsia" w:ascii="宋体" w:hAnsi="宋体" w:cs="宋体"/>
          <w:color w:val="222222"/>
          <w:spacing w:val="5"/>
          <w:sz w:val="28"/>
          <w:szCs w:val="28"/>
          <w:shd w:val="clear" w:color="auto" w:fill="FFFFFF"/>
          <w:lang w:val="en-US" w:eastAsia="zh-CN"/>
        </w:rPr>
        <w:t>公司</w:t>
      </w:r>
      <w:r>
        <w:rPr>
          <w:rFonts w:hint="eastAsia" w:ascii="宋体" w:hAnsi="宋体" w:cs="宋体"/>
          <w:color w:val="222222"/>
          <w:spacing w:val="5"/>
          <w:sz w:val="28"/>
          <w:szCs w:val="28"/>
          <w:shd w:val="clear" w:color="auto" w:fill="FFFFFF"/>
        </w:rPr>
        <w:t>秉承</w:t>
      </w:r>
      <w:r>
        <w:rPr>
          <w:rFonts w:ascii="宋体" w:hAnsi="宋体" w:cs="宋体"/>
          <w:color w:val="222222"/>
          <w:spacing w:val="5"/>
          <w:sz w:val="28"/>
          <w:szCs w:val="28"/>
          <w:shd w:val="clear" w:color="auto" w:fill="FFFFFF"/>
        </w:rPr>
        <w:t>以服务发展为宗旨，以促进就业为导向</w:t>
      </w:r>
      <w:r>
        <w:rPr>
          <w:rFonts w:hint="eastAsia" w:ascii="宋体" w:hAnsi="宋体" w:cs="宋体"/>
          <w:color w:val="222222"/>
          <w:spacing w:val="5"/>
          <w:sz w:val="28"/>
          <w:szCs w:val="28"/>
          <w:shd w:val="clear" w:color="auto" w:fill="FFFFFF"/>
        </w:rPr>
        <w:t>，</w:t>
      </w:r>
      <w:r>
        <w:rPr>
          <w:rFonts w:ascii="宋体" w:hAnsi="宋体" w:cs="宋体"/>
          <w:color w:val="222222"/>
          <w:spacing w:val="5"/>
          <w:sz w:val="28"/>
          <w:szCs w:val="28"/>
          <w:shd w:val="clear" w:color="auto" w:fill="FFFFFF"/>
        </w:rPr>
        <w:t>以专业技能为本位，以工学结合为切入点，</w:t>
      </w:r>
      <w:r>
        <w:rPr>
          <w:rFonts w:hint="eastAsia" w:ascii="宋体" w:hAnsi="宋体" w:cs="宋体"/>
          <w:color w:val="222222"/>
          <w:spacing w:val="5"/>
          <w:sz w:val="28"/>
          <w:szCs w:val="28"/>
          <w:shd w:val="clear" w:color="auto" w:fill="FFFFFF"/>
        </w:rPr>
        <w:t>开辟中国职业教育新模式，专业为社会培养技能型人才。剑儒自动化历经多年发展，承接中大型自动化项目500余个，拥有国家专利80余项。服务客户涉及汽车，石油，冶金，化工，航天，军工，食品众多行业，积累了丰富的自动化解决方案。每年为企业输送600余名优秀人才。</w:t>
      </w:r>
    </w:p>
    <w:p>
      <w:pPr>
        <w:keepNext w:val="0"/>
        <w:keepLines w:val="0"/>
        <w:pageBreakBefore w:val="0"/>
        <w:widowControl/>
        <w:kinsoku/>
        <w:wordWrap/>
        <w:overflowPunct/>
        <w:topLinePunct w:val="0"/>
        <w:autoSpaceDE/>
        <w:autoSpaceDN/>
        <w:bidi w:val="0"/>
        <w:adjustRightInd/>
        <w:snapToGrid/>
        <w:spacing w:line="500" w:lineRule="exact"/>
        <w:ind w:firstLine="580" w:firstLineChars="200"/>
        <w:jc w:val="left"/>
        <w:textAlignment w:val="auto"/>
        <w:rPr>
          <w:rFonts w:ascii="宋体" w:hAnsi="宋体" w:cs="宋体"/>
          <w:color w:val="222222"/>
          <w:spacing w:val="5"/>
          <w:sz w:val="28"/>
          <w:szCs w:val="28"/>
          <w:shd w:val="clear" w:color="auto" w:fill="FFFFFF"/>
        </w:rPr>
      </w:pPr>
      <w:r>
        <w:rPr>
          <w:rFonts w:hint="eastAsia" w:ascii="宋体" w:hAnsi="宋体" w:cs="宋体"/>
          <w:color w:val="222222"/>
          <w:spacing w:val="5"/>
          <w:sz w:val="28"/>
          <w:szCs w:val="28"/>
          <w:shd w:val="clear" w:color="auto" w:fill="FFFFFF"/>
        </w:rPr>
        <w:t>天津剑儒自动化拥有自主知识产权实训设备100余台，比如模拟电梯，冲压生产线，灌装生产线，零件外观检测线，颜色筛选分拣线，立体车库，智能仓储设备，扫码追溯设备，零件加工设备，恒压供水设备，PID调节实训设备，基恩士CCD视觉设备，输送线编码器追剪设备，ABB机器人搬运码垛吸取及模拟焊接，越疆协作机器人视觉定位设备，总线通讯设备，电工实训设备，累计设备投资800余万。拥有一流的科研队伍及先进的实训设备，多年来掌握了丰富的教学经验。同时在快手抖音平台分享自动化技术，累计斩获粉丝40余万，累计指导学员4000余人。</w:t>
      </w:r>
    </w:p>
    <w:p>
      <w:pPr>
        <w:keepNext w:val="0"/>
        <w:keepLines w:val="0"/>
        <w:pageBreakBefore w:val="0"/>
        <w:widowControl/>
        <w:kinsoku/>
        <w:wordWrap/>
        <w:overflowPunct/>
        <w:topLinePunct w:val="0"/>
        <w:autoSpaceDE/>
        <w:autoSpaceDN/>
        <w:bidi w:val="0"/>
        <w:adjustRightInd/>
        <w:snapToGrid/>
        <w:spacing w:line="500" w:lineRule="exact"/>
        <w:ind w:firstLine="580" w:firstLineChars="200"/>
        <w:jc w:val="left"/>
        <w:textAlignment w:val="auto"/>
        <w:rPr>
          <w:rFonts w:hint="eastAsia" w:ascii="宋体" w:hAnsi="宋体" w:cs="宋体"/>
          <w:color w:val="222222"/>
          <w:spacing w:val="5"/>
          <w:sz w:val="28"/>
          <w:szCs w:val="28"/>
          <w:shd w:val="clear" w:color="auto" w:fill="FFFFFF"/>
        </w:rPr>
      </w:pPr>
      <w:r>
        <w:rPr>
          <w:rFonts w:hint="eastAsia" w:ascii="宋体" w:hAnsi="宋体" w:cs="宋体"/>
          <w:color w:val="222222"/>
          <w:spacing w:val="5"/>
          <w:sz w:val="28"/>
          <w:szCs w:val="28"/>
          <w:shd w:val="clear" w:color="auto" w:fill="FFFFFF"/>
        </w:rPr>
        <w:t>技能成就中国梦，剑儒自动化深受各级领导重视，未来也一定会不忘初心，砥砺前行</w:t>
      </w:r>
      <w:r>
        <w:rPr>
          <w:rFonts w:hint="eastAsia" w:ascii="宋体" w:hAnsi="宋体" w:cs="宋体"/>
          <w:color w:val="222222"/>
          <w:spacing w:val="5"/>
          <w:sz w:val="28"/>
          <w:szCs w:val="28"/>
          <w:shd w:val="clear" w:color="auto" w:fill="FFFFFF"/>
          <w:lang w:eastAsia="zh-CN"/>
        </w:rPr>
        <w:t>，</w:t>
      </w:r>
      <w:r>
        <w:rPr>
          <w:rFonts w:hint="eastAsia" w:ascii="宋体" w:hAnsi="宋体" w:cs="宋体"/>
          <w:color w:val="222222"/>
          <w:spacing w:val="5"/>
          <w:sz w:val="28"/>
          <w:szCs w:val="28"/>
          <w:shd w:val="clear" w:color="auto" w:fill="FFFFFF"/>
        </w:rPr>
        <w:t>弘扬工匠精神，助力智能制造，为实现中华民族的伟大复兴贡献力量。</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cs="宋体"/>
          <w:color w:val="222222"/>
          <w:spacing w:val="5"/>
          <w:sz w:val="28"/>
          <w:szCs w:val="28"/>
          <w:shd w:val="clear" w:color="auto" w:fill="FFFFFF"/>
        </w:rPr>
      </w:pPr>
    </w:p>
    <w:p>
      <w:pPr>
        <w:pStyle w:val="2"/>
        <w:rPr>
          <w:rFonts w:hint="eastAsia" w:ascii="宋体" w:hAnsi="宋体" w:cs="宋体"/>
          <w:color w:val="222222"/>
          <w:spacing w:val="5"/>
          <w:sz w:val="28"/>
          <w:szCs w:val="28"/>
          <w:shd w:val="clear" w:color="auto" w:fill="FFFFFF"/>
        </w:rPr>
      </w:pPr>
    </w:p>
    <w:p>
      <w:pPr>
        <w:rPr>
          <w:rFonts w:hint="eastAsia" w:ascii="宋体" w:hAnsi="宋体" w:cs="宋体"/>
          <w:color w:val="222222"/>
          <w:spacing w:val="5"/>
          <w:sz w:val="28"/>
          <w:szCs w:val="28"/>
          <w:shd w:val="clear" w:color="auto" w:fill="FFFFFF"/>
        </w:rPr>
      </w:pPr>
    </w:p>
    <w:p>
      <w:pPr>
        <w:pStyle w:val="2"/>
        <w:rPr>
          <w:rFonts w:hint="eastAsia"/>
        </w:rPr>
      </w:pPr>
    </w:p>
    <w:p>
      <w:pPr>
        <w:pStyle w:val="2"/>
        <w:rPr>
          <w:rFonts w:hint="eastAsia" w:ascii="宋体" w:hAnsi="宋体" w:cs="宋体"/>
          <w:color w:val="222222"/>
          <w:spacing w:val="5"/>
          <w:sz w:val="28"/>
          <w:szCs w:val="28"/>
          <w:shd w:val="clear" w:color="auto" w:fill="FFFFFF"/>
        </w:rPr>
      </w:pPr>
    </w:p>
    <w:p>
      <w:pPr>
        <w:rPr>
          <w:rFonts w:hint="eastAsia" w:ascii="宋体" w:hAnsi="宋体" w:cs="宋体"/>
          <w:color w:val="222222"/>
          <w:spacing w:val="5"/>
          <w:sz w:val="28"/>
          <w:szCs w:val="28"/>
          <w:shd w:val="clear" w:color="auto" w:fill="FFFFFF"/>
        </w:rPr>
      </w:pPr>
    </w:p>
    <w:p>
      <w:pPr>
        <w:pStyle w:val="2"/>
        <w:ind w:left="0" w:leftChars="0" w:firstLine="0" w:firstLineChars="0"/>
        <w:rPr>
          <w:rFonts w:hint="eastAsia" w:ascii="宋体" w:hAnsi="宋体" w:cs="宋体"/>
          <w:b/>
          <w:bCs/>
          <w:sz w:val="28"/>
          <w:szCs w:val="28"/>
          <w:lang w:val="en-US" w:eastAsia="zh-CN"/>
        </w:rPr>
      </w:pPr>
      <w:r>
        <w:rPr>
          <w:rFonts w:hint="eastAsia" w:ascii="宋体" w:hAnsi="宋体" w:cs="宋体"/>
          <w:b/>
          <w:bCs/>
          <w:sz w:val="28"/>
          <w:szCs w:val="28"/>
        </w:rPr>
        <w:t>附件</w:t>
      </w:r>
      <w:r>
        <w:rPr>
          <w:rFonts w:hint="eastAsia" w:ascii="宋体" w:hAnsi="宋体" w:cs="宋体"/>
          <w:b/>
          <w:bCs/>
          <w:sz w:val="28"/>
          <w:szCs w:val="28"/>
          <w:lang w:val="en-US" w:eastAsia="zh-CN"/>
        </w:rPr>
        <w:t>3：报名表</w:t>
      </w:r>
    </w:p>
    <w:p>
      <w:pPr>
        <w:jc w:val="center"/>
        <w:rPr>
          <w:rFonts w:hint="default"/>
          <w:lang w:val="en-US"/>
        </w:rPr>
      </w:pPr>
      <w:r>
        <w:rPr>
          <w:rFonts w:hint="eastAsia" w:ascii="宋体" w:hAnsi="宋体" w:cs="宋体"/>
          <w:b/>
          <w:bCs/>
          <w:sz w:val="28"/>
          <w:szCs w:val="28"/>
          <w:lang w:val="en-US" w:eastAsia="zh-CN"/>
        </w:rPr>
        <w:t>自动化技能培训报名表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383"/>
        <w:gridCol w:w="1651"/>
        <w:gridCol w:w="1728"/>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pPr>
              <w:spacing w:line="500" w:lineRule="exact"/>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序号</w:t>
            </w:r>
          </w:p>
        </w:tc>
        <w:tc>
          <w:tcPr>
            <w:tcW w:w="1383" w:type="dxa"/>
            <w:noWrap w:val="0"/>
            <w:vAlign w:val="top"/>
          </w:tcPr>
          <w:p>
            <w:pPr>
              <w:spacing w:line="500" w:lineRule="exact"/>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姓名</w:t>
            </w:r>
          </w:p>
        </w:tc>
        <w:tc>
          <w:tcPr>
            <w:tcW w:w="1651" w:type="dxa"/>
            <w:noWrap w:val="0"/>
            <w:vAlign w:val="top"/>
          </w:tcPr>
          <w:p>
            <w:pPr>
              <w:spacing w:line="500" w:lineRule="exact"/>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学院</w:t>
            </w:r>
          </w:p>
        </w:tc>
        <w:tc>
          <w:tcPr>
            <w:tcW w:w="1728" w:type="dxa"/>
            <w:noWrap w:val="0"/>
            <w:vAlign w:val="top"/>
          </w:tcPr>
          <w:p>
            <w:pPr>
              <w:spacing w:line="500" w:lineRule="exact"/>
              <w:jc w:val="center"/>
              <w:rPr>
                <w:rFonts w:hint="default" w:ascii="宋体" w:hAnsi="宋体" w:cs="宋体"/>
                <w:sz w:val="28"/>
                <w:szCs w:val="28"/>
                <w:vertAlign w:val="baseline"/>
                <w:lang w:val="en-US" w:eastAsia="zh-CN"/>
              </w:rPr>
            </w:pPr>
            <w:r>
              <w:rPr>
                <w:rFonts w:hint="eastAsia" w:ascii="宋体" w:hAnsi="宋体" w:cs="宋体"/>
                <w:sz w:val="28"/>
                <w:szCs w:val="28"/>
                <w:vertAlign w:val="baseline"/>
                <w:lang w:val="en-US" w:eastAsia="zh-CN"/>
              </w:rPr>
              <w:t>专业</w:t>
            </w:r>
          </w:p>
        </w:tc>
        <w:tc>
          <w:tcPr>
            <w:tcW w:w="1420" w:type="dxa"/>
            <w:noWrap w:val="0"/>
            <w:vAlign w:val="top"/>
          </w:tcPr>
          <w:p>
            <w:pPr>
              <w:spacing w:line="500" w:lineRule="exact"/>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学号</w:t>
            </w:r>
          </w:p>
        </w:tc>
        <w:tc>
          <w:tcPr>
            <w:tcW w:w="1420" w:type="dxa"/>
            <w:noWrap w:val="0"/>
            <w:vAlign w:val="top"/>
          </w:tcPr>
          <w:p>
            <w:pPr>
              <w:spacing w:line="500" w:lineRule="exact"/>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pPr>
              <w:spacing w:line="500" w:lineRule="exact"/>
              <w:jc w:val="center"/>
              <w:rPr>
                <w:rFonts w:hint="eastAsia" w:ascii="宋体" w:hAnsi="宋体" w:cs="宋体"/>
                <w:sz w:val="28"/>
                <w:szCs w:val="28"/>
                <w:vertAlign w:val="baseline"/>
              </w:rPr>
            </w:pPr>
          </w:p>
        </w:tc>
        <w:tc>
          <w:tcPr>
            <w:tcW w:w="1383" w:type="dxa"/>
            <w:noWrap w:val="0"/>
            <w:vAlign w:val="top"/>
          </w:tcPr>
          <w:p>
            <w:pPr>
              <w:spacing w:line="500" w:lineRule="exact"/>
              <w:jc w:val="center"/>
              <w:rPr>
                <w:rFonts w:hint="eastAsia" w:ascii="宋体" w:hAnsi="宋体" w:cs="宋体"/>
                <w:sz w:val="28"/>
                <w:szCs w:val="28"/>
                <w:vertAlign w:val="baseline"/>
              </w:rPr>
            </w:pPr>
          </w:p>
        </w:tc>
        <w:tc>
          <w:tcPr>
            <w:tcW w:w="1651" w:type="dxa"/>
            <w:noWrap w:val="0"/>
            <w:vAlign w:val="top"/>
          </w:tcPr>
          <w:p>
            <w:pPr>
              <w:spacing w:line="500" w:lineRule="exact"/>
              <w:jc w:val="center"/>
              <w:rPr>
                <w:rFonts w:hint="eastAsia" w:ascii="宋体" w:hAnsi="宋体" w:cs="宋体"/>
                <w:sz w:val="28"/>
                <w:szCs w:val="28"/>
                <w:vertAlign w:val="baseline"/>
              </w:rPr>
            </w:pPr>
          </w:p>
        </w:tc>
        <w:tc>
          <w:tcPr>
            <w:tcW w:w="1728" w:type="dxa"/>
            <w:noWrap w:val="0"/>
            <w:vAlign w:val="top"/>
          </w:tcPr>
          <w:p>
            <w:pPr>
              <w:spacing w:line="500" w:lineRule="exact"/>
              <w:jc w:val="center"/>
              <w:rPr>
                <w:rFonts w:hint="eastAsia" w:ascii="宋体" w:hAnsi="宋体" w:cs="宋体"/>
                <w:sz w:val="28"/>
                <w:szCs w:val="28"/>
                <w:vertAlign w:val="baseline"/>
              </w:rPr>
            </w:pPr>
          </w:p>
        </w:tc>
        <w:tc>
          <w:tcPr>
            <w:tcW w:w="1420" w:type="dxa"/>
            <w:noWrap w:val="0"/>
            <w:vAlign w:val="top"/>
          </w:tcPr>
          <w:p>
            <w:pPr>
              <w:spacing w:line="500" w:lineRule="exact"/>
              <w:jc w:val="center"/>
              <w:rPr>
                <w:rFonts w:hint="eastAsia" w:ascii="宋体" w:hAnsi="宋体" w:cs="宋体"/>
                <w:sz w:val="28"/>
                <w:szCs w:val="28"/>
                <w:vertAlign w:val="baseline"/>
              </w:rPr>
            </w:pPr>
          </w:p>
        </w:tc>
        <w:tc>
          <w:tcPr>
            <w:tcW w:w="1420" w:type="dxa"/>
            <w:noWrap w:val="0"/>
            <w:vAlign w:val="top"/>
          </w:tcPr>
          <w:p>
            <w:pPr>
              <w:spacing w:line="500" w:lineRule="exact"/>
              <w:jc w:val="center"/>
              <w:rPr>
                <w:rFonts w:hint="eastAsia" w:ascii="宋体" w:hAnsi="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pPr>
              <w:spacing w:line="500" w:lineRule="exact"/>
              <w:jc w:val="center"/>
              <w:rPr>
                <w:rFonts w:hint="eastAsia" w:ascii="宋体" w:hAnsi="宋体" w:cs="宋体"/>
                <w:sz w:val="28"/>
                <w:szCs w:val="28"/>
                <w:vertAlign w:val="baseline"/>
              </w:rPr>
            </w:pPr>
          </w:p>
        </w:tc>
        <w:tc>
          <w:tcPr>
            <w:tcW w:w="1383" w:type="dxa"/>
            <w:noWrap w:val="0"/>
            <w:vAlign w:val="top"/>
          </w:tcPr>
          <w:p>
            <w:pPr>
              <w:spacing w:line="500" w:lineRule="exact"/>
              <w:jc w:val="center"/>
              <w:rPr>
                <w:rFonts w:hint="eastAsia" w:ascii="宋体" w:hAnsi="宋体" w:cs="宋体"/>
                <w:sz w:val="28"/>
                <w:szCs w:val="28"/>
                <w:vertAlign w:val="baseline"/>
              </w:rPr>
            </w:pPr>
          </w:p>
        </w:tc>
        <w:tc>
          <w:tcPr>
            <w:tcW w:w="1651" w:type="dxa"/>
            <w:noWrap w:val="0"/>
            <w:vAlign w:val="top"/>
          </w:tcPr>
          <w:p>
            <w:pPr>
              <w:spacing w:line="500" w:lineRule="exact"/>
              <w:jc w:val="center"/>
              <w:rPr>
                <w:rFonts w:hint="eastAsia" w:ascii="宋体" w:hAnsi="宋体" w:cs="宋体"/>
                <w:sz w:val="28"/>
                <w:szCs w:val="28"/>
                <w:vertAlign w:val="baseline"/>
              </w:rPr>
            </w:pPr>
          </w:p>
        </w:tc>
        <w:tc>
          <w:tcPr>
            <w:tcW w:w="1728" w:type="dxa"/>
            <w:noWrap w:val="0"/>
            <w:vAlign w:val="top"/>
          </w:tcPr>
          <w:p>
            <w:pPr>
              <w:spacing w:line="500" w:lineRule="exact"/>
              <w:jc w:val="center"/>
              <w:rPr>
                <w:rFonts w:hint="eastAsia" w:ascii="宋体" w:hAnsi="宋体" w:cs="宋体"/>
                <w:sz w:val="28"/>
                <w:szCs w:val="28"/>
                <w:vertAlign w:val="baseline"/>
              </w:rPr>
            </w:pPr>
          </w:p>
        </w:tc>
        <w:tc>
          <w:tcPr>
            <w:tcW w:w="1420" w:type="dxa"/>
            <w:noWrap w:val="0"/>
            <w:vAlign w:val="top"/>
          </w:tcPr>
          <w:p>
            <w:pPr>
              <w:spacing w:line="500" w:lineRule="exact"/>
              <w:jc w:val="center"/>
              <w:rPr>
                <w:rFonts w:hint="eastAsia" w:ascii="宋体" w:hAnsi="宋体" w:cs="宋体"/>
                <w:sz w:val="28"/>
                <w:szCs w:val="28"/>
                <w:vertAlign w:val="baseline"/>
              </w:rPr>
            </w:pPr>
          </w:p>
        </w:tc>
        <w:tc>
          <w:tcPr>
            <w:tcW w:w="1420" w:type="dxa"/>
            <w:noWrap w:val="0"/>
            <w:vAlign w:val="top"/>
          </w:tcPr>
          <w:p>
            <w:pPr>
              <w:spacing w:line="500" w:lineRule="exact"/>
              <w:jc w:val="center"/>
              <w:rPr>
                <w:rFonts w:hint="eastAsia" w:ascii="宋体" w:hAnsi="宋体" w:cs="宋体"/>
                <w:sz w:val="28"/>
                <w:szCs w:val="28"/>
                <w:vertAlign w:val="baseline"/>
              </w:rPr>
            </w:pPr>
          </w:p>
        </w:tc>
      </w:tr>
    </w:tbl>
    <w:p>
      <w:pPr>
        <w:pStyle w:val="2"/>
        <w:ind w:left="0" w:leftChars="0" w:firstLine="0" w:firstLineChars="0"/>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ZWE1NjBjNmQwNjFmNzc2NjExYmFlZmJmN2IzNWMifQ=="/>
  </w:docVars>
  <w:rsids>
    <w:rsidRoot w:val="4DB417CF"/>
    <w:rsid w:val="4DB417CF"/>
    <w:rsid w:val="72CD1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rPr>
      <w:rFonts w:ascii="Times New Roman" w:hAnsi="Times New Roman" w:cs="Times New Roman"/>
    </w:rPr>
  </w:style>
  <w:style w:type="paragraph" w:styleId="4">
    <w:name w:val="envelope return"/>
    <w:basedOn w:val="1"/>
    <w:qFormat/>
    <w:uiPriority w:val="0"/>
    <w:pPr>
      <w:snapToGrid w:val="0"/>
    </w:pPr>
    <w:rPr>
      <w:rFonts w:ascii="Arial" w:hAnsi="Arial"/>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2022-09-27T08:04:00Z</dcterms:created>
  <dc:creator>user</dc:creator>
  <cp:lastModifiedBy>user</cp:lastModifiedBy>
  <dcterms:modified xsi:type="dcterms:W3CDTF">2022-09-27T08:05:59Z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3FA1B73301714CA4BF2BEC6EED8AF09B</vt:lpwstr>
  </property>
</Properties>
</file>