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科研保险产品简介</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为科技研发过程与成果转化设计的保障专属方案，主要依托于中国平安集团财产保险股份有限公司所提供的“金融科技”为核心的保险保障服务。</w:t>
      </w:r>
    </w:p>
    <w:p>
      <w:pPr>
        <w:rPr>
          <w:rFonts w:eastAsia="宋体"/>
          <w:sz w:val="24"/>
        </w:rPr>
      </w:pPr>
      <w:r>
        <w:rPr>
          <w:rFonts w:hint="eastAsia" w:eastAsia="宋体"/>
          <w:b/>
          <w:bCs/>
          <w:i w:val="0"/>
          <w:iCs w:val="0"/>
          <w:sz w:val="24"/>
          <w:u w:val="single"/>
          <w:lang w:val="en-US" w:eastAsia="zh-CN"/>
        </w:rPr>
        <w:t>1</w:t>
      </w:r>
      <w:r>
        <w:rPr>
          <w:rFonts w:hint="eastAsia" w:eastAsia="宋体"/>
          <w:b/>
          <w:bCs/>
          <w:i w:val="0"/>
          <w:iCs w:val="0"/>
          <w:sz w:val="24"/>
          <w:u w:val="single"/>
        </w:rPr>
        <w:t>、特殊类保险 — 首台套保险</w:t>
      </w:r>
    </w:p>
    <w:p>
      <w:pPr>
        <w:rPr>
          <w:rFonts w:eastAsia="宋体"/>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首台套是“首台套重大技术装备”的简称，是指首台套保险也叫做重大装备保险；是一种专门针对手台或者说首套技术装备使用的一款定制化创新型保险。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自工信部2015年出台首台（套）保险补偿机制政策、首台套相关重要政策被写进《中国制造 2025》和国家发改委《关于促进首台（套）重大技术装备示范应用的意见》以来，2020年已完成重大技术装备研发创新体系、首台套检测评定体系、示范应用体系、政策支撑体系全面形成，保障机制的基本建立；全国持续积极响应，完成发改委提出的“到2025年，重大技术装备综合实力基本达到国际先进水平，有效满足经济发展和国家安全的需要”的重要目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2022年3月天津市人民政府办公厅印发了 《天津市促进首台 (套)重大技术装备示范应用的若干措施》。旨在深入实施创新驱动发展战略，优化创新环境，建设制造强市和质量强市，以首台(套)重大技术装备 (以下简称首台套)示范应用为突破口，推动重大技术装备水平不断提升。</w:t>
      </w:r>
    </w:p>
    <w:p>
      <w:pPr>
        <w:rPr>
          <w:rFonts w:eastAsia="宋体"/>
          <w:b/>
          <w:bCs/>
          <w:sz w:val="24"/>
          <w:u w:val="single"/>
        </w:rPr>
      </w:pPr>
      <w:r>
        <w:rPr>
          <w:rFonts w:hint="eastAsia" w:eastAsia="宋体"/>
          <w:b/>
          <w:bCs/>
          <w:sz w:val="24"/>
          <w:u w:val="single"/>
          <w:lang w:val="en-US" w:eastAsia="zh-CN"/>
        </w:rPr>
        <w:t>2</w:t>
      </w:r>
      <w:r>
        <w:rPr>
          <w:rFonts w:hint="eastAsia" w:eastAsia="宋体"/>
          <w:b/>
          <w:bCs/>
          <w:sz w:val="24"/>
          <w:u w:val="single"/>
        </w:rPr>
        <w:t>、特殊类保险 — 新材料保险</w:t>
      </w:r>
    </w:p>
    <w:p>
      <w:pPr>
        <w:rPr>
          <w:rFonts w:eastAsia="宋体"/>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2012年工信部依据《中华人民共和国国民经济和社会发展第十二个五年规划纲要》和《国务院关于加快培育和发展战略性新兴产业的决定》印发《新材料产业“十二五”发展规划》，为培育和发展新材料产业，推动材料工业转型升级，支撑战略性新兴产业发展，加快走中国特色的新型工业化道路。2017年工信部、财政部、保监会三部门决定建立新材料首批次应用保险补偿机制并开展试点工作。</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中国平安作为中国新材料测试评价联盟保险合作单位，以河北工业大学科技园区为基地，辐射京津冀乃至全国的高科技企业，为加快推进新材料首批次应用补偿项目落地，助力推进我国新材料产业健康快速发展。</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与首台套推进工作保持一致，通过定期讲解对相关国家、地方政策解读，对标准审核进行相关讲解和指导，并全程提供保险相关申报服务；在保险期内对新材料的市场应用予以追踪，为次年达标与保险申请进行评估。</w:t>
      </w:r>
    </w:p>
    <w:p>
      <w:pPr>
        <w:rPr>
          <w:rFonts w:eastAsia="宋体"/>
          <w:b/>
          <w:bCs/>
          <w:sz w:val="24"/>
          <w:u w:val="single"/>
        </w:rPr>
      </w:pPr>
      <w:r>
        <w:rPr>
          <w:rFonts w:hint="eastAsia" w:eastAsia="宋体"/>
          <w:b/>
          <w:bCs/>
          <w:sz w:val="24"/>
          <w:u w:val="single"/>
          <w:lang w:val="en-US" w:eastAsia="zh-CN"/>
        </w:rPr>
        <w:t>3</w:t>
      </w:r>
      <w:r>
        <w:rPr>
          <w:rFonts w:hint="eastAsia" w:eastAsia="宋体"/>
          <w:b/>
          <w:bCs/>
          <w:sz w:val="24"/>
          <w:u w:val="single"/>
        </w:rPr>
        <w:t>、特殊类保险 — 知识产权相关保险</w:t>
      </w:r>
    </w:p>
    <w:p>
      <w:pPr>
        <w:rPr>
          <w:rFonts w:eastAsia="宋体"/>
          <w:sz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专利作为企业研发成果的重要体现，其主要作用体现在申请专利并获得专利权后，既可以保护自己的发明成果，防止科研成果流失，获取垄断利润来弥补研发投入，同时也有利于科技进步和经济发展。企业在知识产权申请及使用过程中，存在申请阶段申请被驳回、专利撰写质量不高，运营阶段知识产权被无效、知识产权被侵犯或侵犯他人知识产权的痛点，导致企业在发展中存在大量的待处理纠纷，影响企业稳定经营。</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平安知识产权保险主要从费用补偿类、侵权类、职业责任类等三方面为企业提供保障。包括：</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1. 费用补偿类保险</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(1)商标申请费用补偿保险：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保障因商标(文字部分近似)首次申请不成功的申请专利授权费用损失，包括官费+代理费。</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(2)专利申请费用补偿保险：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保障非专利瑕疵原因导致专利首次申请不成功的申请专利授权费用损失，包括官费+代理费。</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(3)专利无效费用损失保险：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保障因保险专利被无效导致的许可费用损失。</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(4)知识产权无效费用损失保险：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保险期间内，投保知识产权被提起无效宣告请求，投保知识产权的行政主管部门最终生效的无效宣告决定宣告该投保知识产权无效的，保险人负责赔偿被保险人因该投保知识产权实际发生的官费损失。</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(5)知识产权侵权损失补偿保险：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保障被保险人对第三方的侵权行为而提起的诉讼，由第三方承担赔偿金额和诉讼费用，包括同意保险人的第三方代为求偿权。</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(6)专利执行保险：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保障为获取被侵权的证据，在立案或受理前因执行产生的调查费、公证费、交通费、住宿费、伙食补助费，及法律费用。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2. 侵权类保险</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(1)商标侵权损失补偿保险: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被保险人就其受到侵犯的商标权向市场监督管理部门提起查处请求、或向仲裁机构提起仲裁请求、或向法院提起诉讼请求，从而发生的相关调查费用、法律费用，以及仲裁机构仲裁或法院依法判决应由侵权人承担的直接损失。</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(2)专利被侵权损失保险：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保障因专利被侵权而产生的调查费用、法律费用、法院判决的直 接损失。</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(3)侵犯专利权责任保险：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保障以生产经营为目的制造、使用、许诺销售、销售、进口活动中，因过失或疏忽侵犯其他专利权人。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3. 职业责任类保险</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专利代理执业责任保险：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 xml:space="preserve">保障代理人过失责任导致依法应赔偿责任。 </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在高新科技知识产权相关保险保障服务中，我们将采用平安财产险首创特有的“专利保险+服务”模式，为解决客户专利被侵权案件发生后处理所需的各类流程，旨在提供高效便捷专业的专利维权服务。包括：</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(1)参照法院的立案标准审查被保险人提供的资料是否齐备</w:t>
      </w:r>
      <w:r>
        <w:rPr>
          <w:rFonts w:hint="eastAsia" w:ascii="宋体" w:hAnsi="宋体" w:eastAsia="宋体" w:cs="宋体"/>
          <w:sz w:val="24"/>
          <w:lang w:eastAsia="zh-CN"/>
        </w:rPr>
        <w:t>、</w:t>
      </w:r>
      <w:r>
        <w:rPr>
          <w:rFonts w:hint="eastAsia" w:ascii="宋体" w:hAnsi="宋体" w:eastAsia="宋体" w:cs="宋体"/>
          <w:sz w:val="24"/>
        </w:rPr>
        <w:t>合格。</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(2)对专利的稳定性进行初步评价。</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(3)对专利被侵权事实进行初步评价。</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rPr>
      </w:pPr>
      <w:r>
        <w:rPr>
          <w:rFonts w:hint="eastAsia" w:ascii="宋体" w:hAnsi="宋体" w:eastAsia="宋体" w:cs="宋体"/>
          <w:sz w:val="24"/>
        </w:rPr>
        <w:t>(4)综合诉前资料，给予案件建议。同时，提供征求客户是否需要诉中服务的意见，提供对满足条件的案件垫付费用、提供包括专家支持、律师推荐、案件跟踪等一站式 服务，致力于打造维权全流程问题解决方案。</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lang w:val="en-US" w:eastAsia="zh-CN"/>
        </w:rPr>
        <w:t>4.</w:t>
      </w:r>
      <w:r>
        <w:rPr>
          <w:rFonts w:hint="eastAsia" w:ascii="宋体" w:hAnsi="宋体" w:eastAsia="宋体" w:cs="宋体"/>
          <w:color w:val="auto"/>
          <w:sz w:val="24"/>
          <w:u w:val="single"/>
        </w:rPr>
        <w:t>高新技术科研过程和科研成果转化专属保险保障方案</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通过为专家团队和合作企业提供专业的风险评估，为专家及团队成员在研发过程中的人身健康意外、科研产品等相关财产损失，特别精密仪器损失、相关合作的人员健康意外、合同履行期间的信用风险等方面，提供全方位的保险保障。</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通过某医药科技有限公司研发新产品过程的实际案例，浅析风险易患及所需相关保障。</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00" w:lineRule="auto"/>
        <w:ind w:left="482" w:hanging="482" w:firstLineChars="0"/>
        <w:textAlignment w:val="auto"/>
        <w:rPr>
          <w:rFonts w:eastAsia="宋体"/>
          <w:sz w:val="24"/>
        </w:rPr>
      </w:pPr>
      <w:r>
        <w:rPr>
          <w:rFonts w:hint="eastAsia" w:eastAsia="宋体"/>
          <w:sz w:val="24"/>
        </w:rPr>
        <w:t>研发项目过程中，科研人员在研究所工作中，不小心被试剂灼伤眼睛，或者不小心摔倒，属于人身意外事故，有人身意外伤害险中的意外医疗保障；</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00" w:lineRule="auto"/>
        <w:ind w:left="482" w:hanging="482" w:firstLineChars="0"/>
        <w:textAlignment w:val="auto"/>
        <w:rPr>
          <w:rFonts w:eastAsia="宋体"/>
          <w:sz w:val="24"/>
        </w:rPr>
      </w:pPr>
      <w:r>
        <w:rPr>
          <w:rFonts w:hint="eastAsia" w:eastAsia="宋体"/>
          <w:sz w:val="24"/>
        </w:rPr>
        <w:t>研发项目过程中，科研人员出差，途中不幸遇到交通事故，未涉及第三方，有人身意外伤害险中的意外医疗和意外伤残保障；</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00" w:lineRule="auto"/>
        <w:ind w:left="482" w:hanging="482" w:firstLineChars="0"/>
        <w:textAlignment w:val="auto"/>
        <w:rPr>
          <w:rFonts w:eastAsia="宋体"/>
          <w:sz w:val="24"/>
        </w:rPr>
      </w:pPr>
      <w:r>
        <w:rPr>
          <w:rFonts w:hint="eastAsia" w:eastAsia="宋体"/>
          <w:sz w:val="24"/>
        </w:rPr>
        <w:t>新产品成果申报知识产权，是否可以顺利注册，注册成功后万一被恶意侵占等等，有知识产权申请费用损失、专利维权等相关保险提供相关风险保障；</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除以上，该医药科技有限公司作为企业，还投保了企业的雇主责任险，为由于公司员工工伤给企业带来的损失提供补偿； 还投保了财产一切险，为企业建筑物（包括装修）、机器设备、办公用品、仓储物品等由于自然灾害、非人为的火灾、爆炸导致的财产损失提供保障。</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通过案例可以看出，高新技术的研发往往有投入大而收益不确定的特点，科技风险与常规风险相比更复杂、更多变，为科技活动提供分散风险、分摊损失的保障体系极其必要，且需要覆盖人员、财产、责任等多种风险。包括：</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（1）</w:t>
      </w:r>
      <w:r>
        <w:rPr>
          <w:rFonts w:eastAsia="宋体"/>
          <w:sz w:val="24"/>
        </w:rPr>
        <w:t>关键人员意外、健康风险</w:t>
      </w:r>
      <w:r>
        <w:rPr>
          <w:rFonts w:hint="eastAsia" w:eastAsia="宋体"/>
          <w:sz w:val="24"/>
        </w:rPr>
        <w:t>：</w:t>
      </w:r>
      <w:r>
        <w:rPr>
          <w:rFonts w:eastAsia="宋体"/>
          <w:sz w:val="24"/>
        </w:rPr>
        <w:t>企业高管、关键研发人员等对企业生产经营具有重大影响的关键人员遭受意外事故或疾病，致身故、残疾或住院治疗，影响企业正常运行</w:t>
      </w:r>
      <w:r>
        <w:rPr>
          <w:rFonts w:hint="eastAsia" w:eastAsia="宋体"/>
          <w:sz w:val="24"/>
        </w:rPr>
        <w:t>的风险。</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（2）</w:t>
      </w:r>
      <w:r>
        <w:rPr>
          <w:rFonts w:eastAsia="宋体"/>
          <w:sz w:val="24"/>
        </w:rPr>
        <w:t>企业财产损失风险</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（3）</w:t>
      </w:r>
      <w:r>
        <w:rPr>
          <w:rFonts w:eastAsia="宋体"/>
          <w:sz w:val="24"/>
        </w:rPr>
        <w:t>雇员工伤赔偿风险</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（4）</w:t>
      </w:r>
      <w:r>
        <w:rPr>
          <w:rFonts w:eastAsia="宋体"/>
          <w:sz w:val="24"/>
        </w:rPr>
        <w:t>营业中断风险：企业由于关键研发设备损毁、灭失或丧失使用功能以及存储于其中的科研资料丢失，导致研发项目的研发工作中断，企业为恢复生产而产生合理必要的费用。</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（5）</w:t>
      </w:r>
      <w:r>
        <w:rPr>
          <w:rFonts w:eastAsia="宋体"/>
          <w:sz w:val="24"/>
        </w:rPr>
        <w:t>上市企业高管责任风险：上市企业为配合和应对证券监管执法而产生的法律服务费用、遭受投资者民事索赔而应依法承担民事赔偿、为应对民事索赔产生的法律服务费用和遭受证券刑事程序而产生的法律服务费用</w:t>
      </w:r>
      <w:r>
        <w:rPr>
          <w:rFonts w:hint="eastAsia" w:eastAsia="宋体"/>
          <w:sz w:val="24"/>
        </w:rPr>
        <w:t>的风险。</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（6）</w:t>
      </w:r>
      <w:r>
        <w:rPr>
          <w:rFonts w:eastAsia="宋体"/>
          <w:sz w:val="24"/>
        </w:rPr>
        <w:t>网络安全风险：</w:t>
      </w:r>
      <w:r>
        <w:rPr>
          <w:rFonts w:hint="eastAsia" w:eastAsia="宋体"/>
          <w:sz w:val="24"/>
        </w:rPr>
        <w:t>对于高科技</w:t>
      </w:r>
      <w:r>
        <w:rPr>
          <w:rFonts w:eastAsia="宋体"/>
          <w:sz w:val="24"/>
        </w:rPr>
        <w:t>企业</w:t>
      </w:r>
      <w:r>
        <w:rPr>
          <w:rFonts w:hint="eastAsia" w:eastAsia="宋体"/>
          <w:sz w:val="24"/>
        </w:rPr>
        <w:t>，</w:t>
      </w:r>
      <w:r>
        <w:rPr>
          <w:rFonts w:eastAsia="宋体"/>
          <w:sz w:val="24"/>
        </w:rPr>
        <w:t>网络安全风险</w:t>
      </w:r>
      <w:r>
        <w:rPr>
          <w:rFonts w:hint="eastAsia" w:eastAsia="宋体"/>
          <w:sz w:val="24"/>
        </w:rPr>
        <w:t>额外被重视。</w:t>
      </w:r>
      <w:r>
        <w:rPr>
          <w:rFonts w:eastAsia="宋体"/>
          <w:sz w:val="24"/>
        </w:rPr>
        <w:t>因网络恶意行为或人员操作失误造成网络、系统和存储的数据损坏、丢失；或网络遭受攻击丧失稳定运营的状态，不能保证存储、传输、处理信息的完整性、保密性和可用性；或数据被盗窃、被泄露给未经授权的第三者。因此产生营业中断损失、检测费用、数据恢复费用、网络安全防御费用、法律费用、媒体公关费用、通知费用、网络勒索损失和调查费用。</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（7）</w:t>
      </w:r>
      <w:r>
        <w:rPr>
          <w:rFonts w:eastAsia="宋体"/>
          <w:sz w:val="24"/>
        </w:rPr>
        <w:t>关键研发设备损坏风险：企业验收合格并投入使用的关键研发机器设备及配套设施，由于设计、制造或安装错误、铸造和原材料缺陷，操作人员过错、过失或故意行为，离心力引起的断裂，超电压、碰线、电弧、漏电、短路、大气放电、感应电及其他电气原因，造成关键设备设施损坏。</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textAlignment w:val="auto"/>
        <w:rPr>
          <w:rFonts w:eastAsia="宋体"/>
          <w:sz w:val="24"/>
        </w:rPr>
      </w:pPr>
      <w:r>
        <w:rPr>
          <w:rFonts w:hint="eastAsia" w:eastAsia="宋体"/>
          <w:sz w:val="24"/>
        </w:rPr>
        <w:t>（8）</w:t>
      </w:r>
      <w:r>
        <w:rPr>
          <w:rFonts w:eastAsia="宋体"/>
          <w:sz w:val="24"/>
        </w:rPr>
        <w:t xml:space="preserve">安全生产及环境污染风险： </w:t>
      </w:r>
      <w:r>
        <w:rPr>
          <w:rFonts w:hint="eastAsia" w:eastAsia="宋体"/>
          <w:sz w:val="24"/>
        </w:rPr>
        <w:t>因为科技型企业会涉及新产品新材料的生产，特考虑可能存在</w:t>
      </w:r>
      <w:r>
        <w:rPr>
          <w:rFonts w:eastAsia="宋体"/>
          <w:sz w:val="24"/>
        </w:rPr>
        <w:t>企业依法从事生产、经营、储存等活动过程中，因意外事故造成其雇员或第三者的人身伤亡</w:t>
      </w:r>
      <w:r>
        <w:rPr>
          <w:rFonts w:hint="eastAsia" w:eastAsia="宋体"/>
          <w:sz w:val="24"/>
        </w:rPr>
        <w:t xml:space="preserve">的风险； </w:t>
      </w:r>
      <w:r>
        <w:rPr>
          <w:rFonts w:eastAsia="宋体"/>
          <w:sz w:val="24"/>
        </w:rPr>
        <w:t>企业依法从事保险合同载明的经营业务，以及在经营许可范围内进行货物、废弃物的公路运输时，因污染物的释放、散布、泄漏、逸出导致的经济赔偿责任</w:t>
      </w:r>
      <w:r>
        <w:rPr>
          <w:rFonts w:hint="eastAsia" w:eastAsia="宋体"/>
          <w:sz w:val="24"/>
        </w:rPr>
        <w:t>的风险。</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综上，专家或企业组织研发过程中，无论是人身还是财产都存在很多风险，尤其是人，是科技研发的核心，保障好他们的人身安全，就是减少他们的后顾之忧，保证科研的顺利进行；保障千辛万苦研发出来的成果不被恶意侵害，就是保证为此付出的企业和科研人员的利益。也会涉及安全生产、如果有与其它企业合作生产等情况，还会存在合同履行过程中的信用风险等，也可以尽可能从保险业的角度来为这种不确定性进行承保，降低风险。我们力求以科技保险为成果转化保驾护航，激发研发创新活力的新探索，对支持企业技术创新。</w:t>
      </w:r>
    </w:p>
    <w:p>
      <w:pPr>
        <w:ind w:firstLine="482" w:firstLineChars="200"/>
        <w:rPr>
          <w:rFonts w:hint="eastAsia" w:ascii="黑体" w:hAnsi="黑体" w:eastAsia="黑体" w:cs="黑体"/>
          <w:b/>
          <w:bCs/>
          <w:sz w:val="24"/>
        </w:rPr>
      </w:pPr>
      <w:bookmarkStart w:id="0" w:name="_GoBack"/>
      <w:bookmarkEnd w:id="0"/>
      <w:r>
        <w:rPr>
          <w:rFonts w:hint="eastAsia" w:ascii="黑体" w:hAnsi="黑体" w:eastAsia="黑体" w:cs="黑体"/>
          <w:b/>
          <w:bCs/>
          <w:sz w:val="24"/>
        </w:rPr>
        <w:t>附保险产品类型及部分保险产品：</w:t>
      </w:r>
    </w:p>
    <w:p>
      <w:pPr>
        <w:rPr>
          <w:rFonts w:eastAsia="宋体"/>
          <w:sz w:val="24"/>
        </w:rPr>
      </w:pPr>
    </w:p>
    <w:tbl>
      <w:tblPr>
        <w:tblStyle w:val="6"/>
        <w:tblW w:w="8498" w:type="dxa"/>
        <w:tblInd w:w="0" w:type="dxa"/>
        <w:tblLayout w:type="autofit"/>
        <w:tblCellMar>
          <w:top w:w="0" w:type="dxa"/>
          <w:left w:w="108" w:type="dxa"/>
          <w:bottom w:w="0" w:type="dxa"/>
          <w:right w:w="108" w:type="dxa"/>
        </w:tblCellMar>
      </w:tblPr>
      <w:tblGrid>
        <w:gridCol w:w="674"/>
        <w:gridCol w:w="2884"/>
        <w:gridCol w:w="4940"/>
      </w:tblGrid>
      <w:tr>
        <w:tblPrEx>
          <w:tblCellMar>
            <w:top w:w="0" w:type="dxa"/>
            <w:left w:w="108" w:type="dxa"/>
            <w:bottom w:w="0" w:type="dxa"/>
            <w:right w:w="108" w:type="dxa"/>
          </w:tblCellMar>
        </w:tblPrEx>
        <w:trPr>
          <w:trHeight w:val="460" w:hRule="atLeast"/>
        </w:trPr>
        <w:tc>
          <w:tcPr>
            <w:tcW w:w="35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冬青黑体简体中文 W3" w:hAnsi="冬青黑体简体中文 W3" w:eastAsia="宋体" w:cs="Times New Roman"/>
                <w:b/>
                <w:bCs/>
                <w:color w:val="000000"/>
                <w:kern w:val="0"/>
                <w:sz w:val="24"/>
              </w:rPr>
            </w:pPr>
            <w:r>
              <w:rPr>
                <w:rFonts w:hint="eastAsia" w:ascii="冬青黑体简体中文 W3" w:hAnsi="冬青黑体简体中文 W3" w:eastAsia="宋体" w:cs="Times New Roman"/>
                <w:b/>
                <w:bCs/>
                <w:color w:val="000000"/>
                <w:kern w:val="0"/>
                <w:sz w:val="24"/>
              </w:rPr>
              <w:t>保障类型</w:t>
            </w:r>
          </w:p>
        </w:tc>
        <w:tc>
          <w:tcPr>
            <w:tcW w:w="49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冬青黑体简体中文 W3" w:hAnsi="冬青黑体简体中文 W3" w:eastAsia="宋体" w:cs="Times New Roman"/>
                <w:b/>
                <w:bCs/>
                <w:color w:val="000000"/>
                <w:kern w:val="0"/>
                <w:sz w:val="24"/>
              </w:rPr>
            </w:pPr>
            <w:r>
              <w:rPr>
                <w:rFonts w:hint="eastAsia" w:ascii="冬青黑体简体中文 W3" w:hAnsi="冬青黑体简体中文 W3" w:eastAsia="宋体" w:cs="Times New Roman"/>
                <w:b/>
                <w:bCs/>
                <w:color w:val="000000"/>
                <w:kern w:val="0"/>
                <w:sz w:val="24"/>
              </w:rPr>
              <w:t>保险产品</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人</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关键人员意外、医疗</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平安意外伤害保险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平安E生保百万医疗保险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平安交通工具意外伤害保险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平安意外险附加突发疾病身故保险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平安意外险附加法定传染病身故或伤残保险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财</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基础保障</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平安高科技技术企业财产综合保险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平安雇主责任保险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诉讼类</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平安诉讼财产保全责任保险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高端经营类</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平安高新科技企业A股公司董事高管责任保险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网络安全类</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平安网络安全企业财产保险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安全生产类</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平安安全生产责任保险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平安环境污染责任保险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物</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研发设备</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平安高科技技术企业研发设备保险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nil"/>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活动</w:t>
            </w:r>
          </w:p>
        </w:tc>
        <w:tc>
          <w:tcPr>
            <w:tcW w:w="2884" w:type="dxa"/>
            <w:tcBorders>
              <w:top w:val="nil"/>
              <w:left w:val="nil"/>
              <w:bottom w:val="nil"/>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组织责任</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平安组织者责任保险</w:t>
            </w:r>
          </w:p>
        </w:tc>
      </w:tr>
      <w:tr>
        <w:tblPrEx>
          <w:tblCellMar>
            <w:top w:w="0" w:type="dxa"/>
            <w:left w:w="108" w:type="dxa"/>
            <w:bottom w:w="0" w:type="dxa"/>
            <w:right w:w="108" w:type="dxa"/>
          </w:tblCellMar>
        </w:tblPrEx>
        <w:trPr>
          <w:trHeight w:val="520" w:hRule="atLeast"/>
        </w:trPr>
        <w:tc>
          <w:tcPr>
            <w:tcW w:w="67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2884"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2"/>
              </w:rPr>
            </w:pPr>
            <w:r>
              <w:rPr>
                <w:rFonts w:hint="eastAsia" w:ascii="冬青黑体简体中文 W3" w:hAnsi="冬青黑体简体中文 W3" w:eastAsia="宋体" w:cs="Times New Roman"/>
                <w:color w:val="000000"/>
                <w:kern w:val="0"/>
                <w:sz w:val="24"/>
                <w:szCs w:val="22"/>
              </w:rPr>
              <w:t>　</w:t>
            </w:r>
          </w:p>
        </w:tc>
        <w:tc>
          <w:tcPr>
            <w:tcW w:w="4940" w:type="dxa"/>
            <w:tcBorders>
              <w:top w:val="nil"/>
              <w:left w:val="nil"/>
              <w:bottom w:val="single" w:color="auto" w:sz="4" w:space="0"/>
              <w:right w:val="single" w:color="auto" w:sz="4" w:space="0"/>
            </w:tcBorders>
            <w:shd w:val="clear" w:color="auto" w:fill="auto"/>
            <w:noWrap/>
            <w:vAlign w:val="bottom"/>
          </w:tcPr>
          <w:p>
            <w:pPr>
              <w:widowControl/>
              <w:jc w:val="left"/>
              <w:rPr>
                <w:rFonts w:ascii="冬青黑体简体中文 W3" w:hAnsi="冬青黑体简体中文 W3" w:eastAsia="宋体" w:cs="Times New Roman"/>
                <w:color w:val="000000"/>
                <w:kern w:val="0"/>
                <w:sz w:val="24"/>
                <w:szCs w:val="20"/>
              </w:rPr>
            </w:pPr>
            <w:r>
              <w:rPr>
                <w:rFonts w:hint="eastAsia" w:ascii="MS Mincho" w:hAnsi="MS Mincho" w:eastAsia="宋体" w:cs="MS Mincho"/>
                <w:color w:val="000000"/>
                <w:kern w:val="0"/>
                <w:sz w:val="24"/>
                <w:szCs w:val="20"/>
              </w:rPr>
              <w:t>☐</w:t>
            </w:r>
            <w:r>
              <w:rPr>
                <w:rFonts w:hint="eastAsia" w:ascii="冬青黑体简体中文 W3" w:hAnsi="冬青黑体简体中文 W3" w:eastAsia="宋体" w:cs="Times New Roman"/>
                <w:color w:val="000000"/>
                <w:kern w:val="0"/>
                <w:sz w:val="24"/>
                <w:szCs w:val="20"/>
              </w:rPr>
              <w:t xml:space="preserve"> 平安展览会责任保险</w:t>
            </w:r>
          </w:p>
        </w:tc>
      </w:tr>
    </w:tbl>
    <w:p>
      <w:pPr>
        <w:rPr>
          <w:rFonts w:eastAsia="宋体"/>
          <w:sz w:val="24"/>
        </w:rPr>
      </w:pPr>
    </w:p>
    <w:p>
      <w:pPr>
        <w:rPr>
          <w:rFonts w:hint="eastAsia" w:ascii="宋体" w:hAnsi="宋体" w:eastAsia="宋体" w:cs="宋体"/>
          <w:i w:val="0"/>
          <w:iCs w:val="0"/>
          <w:caps w:val="0"/>
          <w:color w:val="333333"/>
          <w:spacing w:val="0"/>
          <w:sz w:val="21"/>
          <w:szCs w:val="21"/>
          <w:shd w:val="clear" w:fill="FFFFFF"/>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冬青黑体简体中文 W3">
    <w:altName w:val="黑体"/>
    <w:panose1 w:val="020B0300000000000000"/>
    <w:charset w:val="86"/>
    <w:family w:val="swiss"/>
    <w:pitch w:val="default"/>
    <w:sig w:usb0="00000000" w:usb1="00000000" w:usb2="00000000" w:usb3="00000000" w:csb0="00160000"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C7098"/>
    <w:multiLevelType w:val="multilevel"/>
    <w:tmpl w:val="743C709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NDkwYjBjZDA4MmQzYTYzNDc4MmFjNDExNTA2NjgifQ=="/>
  </w:docVars>
  <w:rsids>
    <w:rsidRoot w:val="00000000"/>
    <w:rsid w:val="02456055"/>
    <w:rsid w:val="04AF34C9"/>
    <w:rsid w:val="05515956"/>
    <w:rsid w:val="07E717F1"/>
    <w:rsid w:val="0BC92117"/>
    <w:rsid w:val="16AF71B3"/>
    <w:rsid w:val="2F3B396E"/>
    <w:rsid w:val="31EE3FA7"/>
    <w:rsid w:val="3322160F"/>
    <w:rsid w:val="3E987B9D"/>
    <w:rsid w:val="41917CCB"/>
    <w:rsid w:val="62D358FF"/>
    <w:rsid w:val="6418744B"/>
    <w:rsid w:val="65C57872"/>
    <w:rsid w:val="73EF55DC"/>
    <w:rsid w:val="7BE07CB6"/>
    <w:rsid w:val="7EE9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3968</Words>
  <Characters>4019</Characters>
  <Lines>0</Lines>
  <Paragraphs>0</Paragraphs>
  <TotalTime>13</TotalTime>
  <ScaleCrop>false</ScaleCrop>
  <LinksUpToDate>false</LinksUpToDate>
  <CharactersWithSpaces>4071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2022-06-15T21:08:00Z</dcterms:created>
  <dc:creator>小煜0518</dc:creator>
  <cp:lastModifiedBy>gxt</cp:lastModifiedBy>
  <cp:lastPrinted>2022-06-17T17:26:00Z</cp:lastPrinted>
  <dcterms:modified xsi:type="dcterms:W3CDTF">2022-07-10T08:45:50Z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3AA7813028F24C4B9F212E4C64B2D103</vt:lpwstr>
  </property>
</Properties>
</file>